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napToGrid w:val="0"/>
          <w:sz w:val="32"/>
          <w:lang w:val="en-US" w:eastAsia="zh-CN"/>
        </w:rPr>
        <w:t>附件1：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28"/>
          <w:szCs w:val="28"/>
          <w:lang w:val="en-US" w:eastAsia="zh-CN"/>
        </w:rPr>
        <w:t>砚山县中医医院拟采购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便携式彩超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28"/>
          <w:szCs w:val="28"/>
          <w:lang w:val="en-US" w:eastAsia="zh-CN"/>
        </w:rPr>
        <w:t>等一批医疗设备明录</w:t>
      </w:r>
    </w:p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481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多通道荧光定量分析仪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干式荧光免疫分析仪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急性透析和体外血液治疗机（床旁CRRT机）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便携式全数字彩色多普勒超声诊断仪（肾内科专用）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血流动力学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监护平台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输液输血加温器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输血泵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肠内营养输注泵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空气压力治疗仪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垂直流洁净工作台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微量注射泵（双通道）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骨创伤治疗仪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手术对接车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3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950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6880"/>
    <w:rsid w:val="14DC6880"/>
    <w:rsid w:val="64B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2021-03-16T15:34:00Z</dcterms:created>
  <dc:creator>admin</dc:creator>
  <cp:lastModifiedBy>admin</cp:lastModifiedBy>
  <dcterms:modified xsi:type="dcterms:W3CDTF">2021-03-16T15:50:48Z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